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0A7117" w:rsidRDefault="00F92268" w:rsidP="00850792">
      <w:pPr>
        <w:pStyle w:val="BodyText"/>
        <w:rPr>
          <w:sz w:val="6"/>
          <w:szCs w:val="6"/>
        </w:rPr>
      </w:pPr>
      <w:r w:rsidRPr="000A711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0A711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0A7117" w:rsidRDefault="00F92268" w:rsidP="00F246C7">
            <w:pPr>
              <w:pStyle w:val="RefTableData"/>
            </w:pPr>
            <w:r w:rsidRPr="000A7117">
              <w:t>Reference number(s)</w:t>
            </w:r>
          </w:p>
        </w:tc>
      </w:tr>
      <w:tr w:rsidR="00F92268" w:rsidRPr="000A711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9293FD5" w:rsidR="00F92268" w:rsidRPr="000A7117" w:rsidRDefault="002207EE" w:rsidP="00F246C7">
            <w:pPr>
              <w:pStyle w:val="RefTableHeader"/>
            </w:pPr>
            <w:r w:rsidRPr="000A7117">
              <w:t>2266-A</w:t>
            </w:r>
          </w:p>
        </w:tc>
      </w:tr>
    </w:tbl>
    <w:p w14:paraId="74FBA5B4" w14:textId="77777777" w:rsidR="00051356" w:rsidRPr="000A7117" w:rsidRDefault="00051356" w:rsidP="00A672B3">
      <w:pPr>
        <w:pStyle w:val="BodyText"/>
        <w:rPr>
          <w:b/>
          <w:bCs/>
          <w:sz w:val="16"/>
          <w:szCs w:val="16"/>
        </w:rPr>
        <w:sectPr w:rsidR="00051356" w:rsidRPr="000A7117" w:rsidSect="00D4308F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E22B551" w:rsidR="004B15BB" w:rsidRPr="000A7117" w:rsidRDefault="005A1503" w:rsidP="005A1503">
      <w:pPr>
        <w:pStyle w:val="Heading1"/>
      </w:pPr>
      <w:r w:rsidRPr="000A7117">
        <w:t>Specialty Guideline Management</w:t>
      </w:r>
      <w:r w:rsidR="000A7117" w:rsidRPr="000A7117">
        <w:br/>
      </w:r>
      <w:r w:rsidRPr="000A7117">
        <w:t>tetrabenazine</w:t>
      </w:r>
      <w:r w:rsidR="00BF3423">
        <w:t>-</w:t>
      </w:r>
      <w:proofErr w:type="spellStart"/>
      <w:r w:rsidR="00BF3423" w:rsidRPr="000A7117">
        <w:t>Xenazine</w:t>
      </w:r>
      <w:proofErr w:type="spellEnd"/>
    </w:p>
    <w:p w14:paraId="78861C92" w14:textId="7FC7DBAF" w:rsidR="00203468" w:rsidRPr="000A7117" w:rsidRDefault="00C64534" w:rsidP="008E0F0D">
      <w:pPr>
        <w:pStyle w:val="Heading2"/>
      </w:pPr>
      <w:r w:rsidRPr="000A7117">
        <w:t xml:space="preserve">Products Referenced by this </w:t>
      </w:r>
      <w:r w:rsidR="00501602" w:rsidRPr="000A7117">
        <w:t>Document</w:t>
      </w:r>
    </w:p>
    <w:p w14:paraId="5455152B" w14:textId="5079E51F" w:rsidR="008E0F0D" w:rsidRPr="000A7117" w:rsidRDefault="00D82D85" w:rsidP="008B73E8">
      <w:pPr>
        <w:pStyle w:val="BodyText"/>
      </w:pPr>
      <w:r w:rsidRPr="000A7117">
        <w:t xml:space="preserve">Drugs that are listed in the </w:t>
      </w:r>
      <w:r w:rsidR="000315F1" w:rsidRPr="000A7117">
        <w:t>following table</w:t>
      </w:r>
      <w:r w:rsidRPr="000A7117">
        <w:t xml:space="preserve"> include both brand and generic and all dosage forms and strengths unless otherwise stated. </w:t>
      </w:r>
      <w:r w:rsidR="007051D9">
        <w:t>Over-the-counter (</w:t>
      </w:r>
      <w:r w:rsidRPr="000A7117">
        <w:t>OTC</w:t>
      </w:r>
      <w:r w:rsidR="007051D9">
        <w:t>)</w:t>
      </w:r>
      <w:r w:rsidRPr="000A7117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0A7117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0A7117" w:rsidRDefault="00252CE1" w:rsidP="00024391">
            <w:pPr>
              <w:pStyle w:val="TableHeader"/>
              <w:spacing w:after="0"/>
            </w:pPr>
            <w:bookmarkStart w:id="0" w:name="_Hlk159603270"/>
            <w:r w:rsidRPr="000A7117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0A7117" w:rsidRDefault="00252CE1" w:rsidP="00024391">
            <w:pPr>
              <w:pStyle w:val="TableHeader"/>
              <w:spacing w:after="0"/>
            </w:pPr>
            <w:r w:rsidRPr="000A7117">
              <w:t>Generic Name</w:t>
            </w:r>
          </w:p>
        </w:tc>
      </w:tr>
      <w:tr w:rsidR="00585FFF" w:rsidRPr="000A7117" w14:paraId="2AD5C02D" w14:textId="77777777" w:rsidTr="000C5A6F">
        <w:trPr>
          <w:cantSplit/>
        </w:trPr>
        <w:tc>
          <w:tcPr>
            <w:tcW w:w="5265" w:type="dxa"/>
          </w:tcPr>
          <w:p w14:paraId="2D8FA8E3" w14:textId="5BFB97BD" w:rsidR="00585FFF" w:rsidRPr="000A7117" w:rsidRDefault="005A1503" w:rsidP="00024391">
            <w:pPr>
              <w:pStyle w:val="TableDataUnpadded"/>
            </w:pPr>
            <w:proofErr w:type="spellStart"/>
            <w:r w:rsidRPr="000A7117">
              <w:t>Xenazine</w:t>
            </w:r>
            <w:proofErr w:type="spellEnd"/>
          </w:p>
        </w:tc>
        <w:tc>
          <w:tcPr>
            <w:tcW w:w="5595" w:type="dxa"/>
          </w:tcPr>
          <w:p w14:paraId="7E26A004" w14:textId="65008D22" w:rsidR="00585FFF" w:rsidRPr="000A7117" w:rsidRDefault="005A1503" w:rsidP="00024391">
            <w:pPr>
              <w:pStyle w:val="TableDataUnpadded"/>
            </w:pPr>
            <w:r w:rsidRPr="000A7117">
              <w:t>tetrabenazine</w:t>
            </w:r>
          </w:p>
        </w:tc>
      </w:tr>
    </w:tbl>
    <w:bookmarkEnd w:id="0"/>
    <w:p w14:paraId="14CE6108" w14:textId="0031B221" w:rsidR="00FC1AAD" w:rsidRPr="000A7117" w:rsidRDefault="00ED052F" w:rsidP="00AA2A94">
      <w:pPr>
        <w:pStyle w:val="Heading2"/>
        <w:tabs>
          <w:tab w:val="left" w:pos="9540"/>
        </w:tabs>
      </w:pPr>
      <w:r w:rsidRPr="000A7117">
        <w:t>Indications</w:t>
      </w:r>
    </w:p>
    <w:p w14:paraId="5C806F50" w14:textId="5436B713" w:rsidR="005A1503" w:rsidRPr="000A7117" w:rsidRDefault="005A1503" w:rsidP="005A1503">
      <w:pPr>
        <w:pStyle w:val="BodyText"/>
      </w:pPr>
      <w:r w:rsidRPr="000A711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3AC0AF4" w:rsidR="00ED052F" w:rsidRPr="00353078" w:rsidRDefault="00ED052F" w:rsidP="00ED052F">
      <w:pPr>
        <w:pStyle w:val="Heading3"/>
        <w:keepNext w:val="0"/>
        <w:rPr>
          <w:vertAlign w:val="superscript"/>
        </w:rPr>
      </w:pPr>
      <w:r w:rsidRPr="000A7117">
        <w:t>FDA-</w:t>
      </w:r>
      <w:r w:rsidR="00BE7439">
        <w:t>A</w:t>
      </w:r>
      <w:r w:rsidRPr="000A7117">
        <w:t>pproved Indications</w:t>
      </w:r>
      <w:r w:rsidR="00400D7E">
        <w:rPr>
          <w:vertAlign w:val="superscript"/>
        </w:rPr>
        <w:t>1,2</w:t>
      </w:r>
    </w:p>
    <w:p w14:paraId="4C434745" w14:textId="2D514384" w:rsidR="00ED052F" w:rsidRPr="000A7117" w:rsidRDefault="005A1503" w:rsidP="00ED052F">
      <w:pPr>
        <w:pStyle w:val="BodyText"/>
      </w:pPr>
      <w:r w:rsidRPr="000A7117">
        <w:t>Treatment of chorea associated with Huntington’s disease</w:t>
      </w:r>
      <w:r w:rsidR="00F50523">
        <w:t>.</w:t>
      </w:r>
    </w:p>
    <w:p w14:paraId="0B5EC236" w14:textId="31E7D743" w:rsidR="0044763A" w:rsidRPr="000A7117" w:rsidRDefault="009F2EF1" w:rsidP="0044763A">
      <w:pPr>
        <w:pStyle w:val="Heading3"/>
      </w:pPr>
      <w:r w:rsidRPr="000A7117">
        <w:t>Compendial Uses</w:t>
      </w:r>
    </w:p>
    <w:p w14:paraId="768BACC7" w14:textId="094990AD" w:rsidR="00053B80" w:rsidRPr="000A7117" w:rsidRDefault="00053B80" w:rsidP="00053B80">
      <w:pPr>
        <w:pStyle w:val="ListParagraph"/>
        <w:spacing w:after="120"/>
      </w:pPr>
      <w:r w:rsidRPr="000A7117">
        <w:t>Chorea not associated with Huntington’s disease</w:t>
      </w:r>
      <w:r w:rsidRPr="000A7117">
        <w:rPr>
          <w:vertAlign w:val="superscript"/>
        </w:rPr>
        <w:t>4</w:t>
      </w:r>
      <w:r>
        <w:rPr>
          <w:vertAlign w:val="superscript"/>
        </w:rPr>
        <w:t>,</w:t>
      </w:r>
      <w:r w:rsidR="003520C8">
        <w:rPr>
          <w:vertAlign w:val="superscript"/>
        </w:rPr>
        <w:t>5</w:t>
      </w:r>
    </w:p>
    <w:p w14:paraId="088086F4" w14:textId="36CD2FE4" w:rsidR="00053B80" w:rsidRPr="000A7117" w:rsidRDefault="00053B80" w:rsidP="00053B80">
      <w:pPr>
        <w:pStyle w:val="ListParagraph"/>
      </w:pPr>
      <w:r w:rsidRPr="000A7117">
        <w:t>Hemiballismus</w:t>
      </w:r>
      <w:r w:rsidRPr="000A7117">
        <w:rPr>
          <w:vertAlign w:val="superscript"/>
        </w:rPr>
        <w:t>4</w:t>
      </w:r>
      <w:r>
        <w:rPr>
          <w:vertAlign w:val="superscript"/>
        </w:rPr>
        <w:t>,</w:t>
      </w:r>
      <w:r w:rsidR="001F492A">
        <w:rPr>
          <w:vertAlign w:val="superscript"/>
        </w:rPr>
        <w:t>5</w:t>
      </w:r>
    </w:p>
    <w:p w14:paraId="25F0546A" w14:textId="1ED0CFA0" w:rsidR="00A07356" w:rsidRPr="000A7117" w:rsidRDefault="00A07356" w:rsidP="00A07356">
      <w:pPr>
        <w:pStyle w:val="ListParagraph"/>
      </w:pPr>
      <w:r w:rsidRPr="000A7117">
        <w:t>Tardive dyskinesia</w:t>
      </w:r>
      <w:r w:rsidRPr="000A7117">
        <w:rPr>
          <w:vertAlign w:val="superscript"/>
        </w:rPr>
        <w:t>3,4</w:t>
      </w:r>
      <w:r w:rsidR="001F492A">
        <w:rPr>
          <w:vertAlign w:val="superscript"/>
        </w:rPr>
        <w:t>,</w:t>
      </w:r>
      <w:r w:rsidR="00BB4A0A">
        <w:rPr>
          <w:vertAlign w:val="superscript"/>
        </w:rPr>
        <w:t>7</w:t>
      </w:r>
    </w:p>
    <w:p w14:paraId="3F312634" w14:textId="269622A7" w:rsidR="005A1503" w:rsidRPr="000A7117" w:rsidRDefault="005A1503" w:rsidP="005A1503">
      <w:pPr>
        <w:pStyle w:val="ListParagraph"/>
      </w:pPr>
      <w:r w:rsidRPr="000A7117">
        <w:t>Tic disorders</w:t>
      </w:r>
      <w:r w:rsidRPr="000A7117">
        <w:rPr>
          <w:vertAlign w:val="superscript"/>
        </w:rPr>
        <w:t>3</w:t>
      </w:r>
      <w:r w:rsidR="001F492A">
        <w:rPr>
          <w:vertAlign w:val="superscript"/>
        </w:rPr>
        <w:t>-6</w:t>
      </w:r>
    </w:p>
    <w:p w14:paraId="0D5A9DD5" w14:textId="2639F57F" w:rsidR="009A5649" w:rsidRPr="000A7117" w:rsidRDefault="009A5649" w:rsidP="009A5649">
      <w:pPr>
        <w:pStyle w:val="BodyText"/>
        <w:rPr>
          <w:rFonts w:eastAsia="Arial"/>
        </w:rPr>
      </w:pPr>
      <w:r w:rsidRPr="000A7117">
        <w:t xml:space="preserve">All other indications are considered experimental/investigational and </w:t>
      </w:r>
      <w:r w:rsidRPr="000A7117">
        <w:rPr>
          <w:rFonts w:eastAsia="Arial"/>
        </w:rPr>
        <w:t>not medically necessary.</w:t>
      </w:r>
    </w:p>
    <w:p w14:paraId="36381B6D" w14:textId="69745D2A" w:rsidR="000D2496" w:rsidRPr="000A7117" w:rsidRDefault="000D2496" w:rsidP="002207EE">
      <w:pPr>
        <w:pStyle w:val="Heading2"/>
        <w:tabs>
          <w:tab w:val="left" w:pos="9240"/>
        </w:tabs>
      </w:pPr>
      <w:r w:rsidRPr="000A7117">
        <w:lastRenderedPageBreak/>
        <w:t>Documentation</w:t>
      </w:r>
    </w:p>
    <w:p w14:paraId="5D724B4F" w14:textId="237EC721" w:rsidR="005A1503" w:rsidRPr="000A7117" w:rsidRDefault="005A1503" w:rsidP="004A1B2C">
      <w:pPr>
        <w:pStyle w:val="BodyText"/>
      </w:pPr>
      <w:r w:rsidRPr="000A7117">
        <w:t xml:space="preserve">Submission of the </w:t>
      </w:r>
      <w:r w:rsidRPr="004A1B2C">
        <w:t>following</w:t>
      </w:r>
      <w:r w:rsidRPr="000A7117">
        <w:t xml:space="preserve"> information is necessary to initiate the prior authorization review for initial requests:</w:t>
      </w:r>
    </w:p>
    <w:p w14:paraId="500D0604" w14:textId="77777777" w:rsidR="00A07356" w:rsidRPr="004A1B2C" w:rsidRDefault="00A07356" w:rsidP="00A07356">
      <w:pPr>
        <w:pStyle w:val="ListParagraph"/>
        <w:numPr>
          <w:ilvl w:val="0"/>
          <w:numId w:val="34"/>
        </w:numPr>
      </w:pPr>
      <w:r w:rsidRPr="004A1B2C">
        <w:t>Chorea associated with Huntington’s disease: Chart notes or medical record documentation of characteristic motor examination features.</w:t>
      </w:r>
    </w:p>
    <w:p w14:paraId="55017406" w14:textId="510B49AD" w:rsidR="005A1503" w:rsidRPr="004A1B2C" w:rsidRDefault="005A1503" w:rsidP="004A1B2C">
      <w:pPr>
        <w:pStyle w:val="ListParagraph"/>
        <w:numPr>
          <w:ilvl w:val="0"/>
          <w:numId w:val="34"/>
        </w:numPr>
      </w:pPr>
      <w:r w:rsidRPr="004A1B2C">
        <w:t>Tardive dyskinesia: Chart notes or medical record documentation of clinical manifestations of disease.</w:t>
      </w:r>
    </w:p>
    <w:p w14:paraId="50A38FBA" w14:textId="522B5F83" w:rsidR="00FE0C63" w:rsidRPr="000A7117" w:rsidRDefault="00685107" w:rsidP="00E050E1">
      <w:pPr>
        <w:pStyle w:val="Heading2"/>
      </w:pPr>
      <w:r w:rsidRPr="000A7117">
        <w:t>Coverage Criteria</w:t>
      </w:r>
    </w:p>
    <w:p w14:paraId="3DE04F68" w14:textId="30BCB2FD" w:rsidR="00E17F04" w:rsidRPr="000A7117" w:rsidRDefault="00E17F04" w:rsidP="00E17F04">
      <w:pPr>
        <w:pStyle w:val="Heading3"/>
      </w:pPr>
      <w:r w:rsidRPr="000A7117">
        <w:t xml:space="preserve">Chorea </w:t>
      </w:r>
      <w:r w:rsidR="00385557">
        <w:t>a</w:t>
      </w:r>
      <w:r w:rsidR="00385557" w:rsidRPr="000A7117">
        <w:t xml:space="preserve">ssociated </w:t>
      </w:r>
      <w:r w:rsidR="00385557">
        <w:t>w</w:t>
      </w:r>
      <w:r w:rsidR="00385557" w:rsidRPr="000A7117">
        <w:t xml:space="preserve">ith </w:t>
      </w:r>
      <w:r w:rsidRPr="000A7117">
        <w:t xml:space="preserve">Huntington’s </w:t>
      </w:r>
      <w:r w:rsidR="00165B25">
        <w:t>d</w:t>
      </w:r>
      <w:r w:rsidR="00385557" w:rsidRPr="000A7117">
        <w:t>isease</w:t>
      </w:r>
      <w:r w:rsidR="00385557" w:rsidRPr="000A7117">
        <w:rPr>
          <w:vertAlign w:val="superscript"/>
        </w:rPr>
        <w:t>1</w:t>
      </w:r>
      <w:r w:rsidRPr="000A7117">
        <w:rPr>
          <w:vertAlign w:val="superscript"/>
        </w:rPr>
        <w:t>,2</w:t>
      </w:r>
    </w:p>
    <w:p w14:paraId="61531CB3" w14:textId="6F97E080" w:rsidR="00E17F04" w:rsidRPr="000A7117" w:rsidRDefault="00E17F04" w:rsidP="004A1B2C">
      <w:pPr>
        <w:pStyle w:val="BodyText"/>
      </w:pPr>
      <w:r w:rsidRPr="000A7117">
        <w:t>Authorization of 6 months may be granted for treatment of chorea associated with Huntington’s disease when both of the following criteria are met:</w:t>
      </w:r>
    </w:p>
    <w:p w14:paraId="4C80E9A6" w14:textId="2359324F" w:rsidR="00E17F04" w:rsidRPr="004A1B2C" w:rsidRDefault="00E17F04" w:rsidP="004A1B2C">
      <w:pPr>
        <w:pStyle w:val="ListParagraph"/>
        <w:numPr>
          <w:ilvl w:val="0"/>
          <w:numId w:val="35"/>
        </w:numPr>
      </w:pPr>
      <w:r w:rsidRPr="004A1B2C">
        <w:t>Member demonstrates characteristic motor examination features.</w:t>
      </w:r>
    </w:p>
    <w:p w14:paraId="0890715B" w14:textId="2D655421" w:rsidR="00E17F04" w:rsidRPr="004A1B2C" w:rsidRDefault="00E17F04" w:rsidP="004A1B2C">
      <w:pPr>
        <w:pStyle w:val="ListParagraph"/>
        <w:numPr>
          <w:ilvl w:val="0"/>
          <w:numId w:val="35"/>
        </w:numPr>
      </w:pPr>
      <w:r w:rsidRPr="004A1B2C">
        <w:t>Member meets one of the following conditions:</w:t>
      </w:r>
    </w:p>
    <w:p w14:paraId="285960B0" w14:textId="7521D13F" w:rsidR="00E17F04" w:rsidRPr="004A1B2C" w:rsidRDefault="00E17F04" w:rsidP="004A1B2C">
      <w:pPr>
        <w:pStyle w:val="ListParagraph"/>
        <w:numPr>
          <w:ilvl w:val="1"/>
          <w:numId w:val="36"/>
        </w:numPr>
      </w:pPr>
      <w:r w:rsidRPr="004A1B2C">
        <w:t>Laboratory results indicate an expanded HTT CAG repeat sequence of at least 36</w:t>
      </w:r>
    </w:p>
    <w:p w14:paraId="14432099" w14:textId="0200D617" w:rsidR="00E17F04" w:rsidRPr="004A1B2C" w:rsidRDefault="00E17F04" w:rsidP="004A1B2C">
      <w:pPr>
        <w:pStyle w:val="ListParagraph"/>
        <w:numPr>
          <w:ilvl w:val="1"/>
          <w:numId w:val="36"/>
        </w:numPr>
      </w:pPr>
      <w:r w:rsidRPr="004A1B2C">
        <w:t>Member has a positive family history for Huntington’s disease</w:t>
      </w:r>
    </w:p>
    <w:p w14:paraId="6E464D91" w14:textId="774F547F" w:rsidR="00E17F04" w:rsidRPr="000A7117" w:rsidRDefault="00E17F04" w:rsidP="004A1B2C">
      <w:pPr>
        <w:pStyle w:val="Heading3"/>
      </w:pPr>
      <w:r w:rsidRPr="000A7117">
        <w:t xml:space="preserve">Chorea </w:t>
      </w:r>
      <w:r w:rsidR="00324850">
        <w:t>n</w:t>
      </w:r>
      <w:r w:rsidR="00324850" w:rsidRPr="000A7117">
        <w:t xml:space="preserve">ot </w:t>
      </w:r>
      <w:r w:rsidR="00165B25">
        <w:t>a</w:t>
      </w:r>
      <w:r w:rsidR="00165B25" w:rsidRPr="000A7117">
        <w:t xml:space="preserve">ssociated </w:t>
      </w:r>
      <w:r w:rsidR="00324850">
        <w:t>w</w:t>
      </w:r>
      <w:r w:rsidR="00324850" w:rsidRPr="000A7117">
        <w:t xml:space="preserve">ith </w:t>
      </w:r>
      <w:r w:rsidRPr="000A7117">
        <w:t xml:space="preserve">Huntington’s </w:t>
      </w:r>
      <w:r w:rsidR="00165B25">
        <w:t>d</w:t>
      </w:r>
      <w:r w:rsidR="00165B25" w:rsidRPr="000A7117">
        <w:t>isease</w:t>
      </w:r>
      <w:r w:rsidR="00165B25" w:rsidRPr="000A7117">
        <w:rPr>
          <w:vertAlign w:val="superscript"/>
        </w:rPr>
        <w:t>4</w:t>
      </w:r>
      <w:r w:rsidRPr="000A7117">
        <w:rPr>
          <w:vertAlign w:val="superscript"/>
        </w:rPr>
        <w:t>,</w:t>
      </w:r>
      <w:r w:rsidR="00353078">
        <w:rPr>
          <w:vertAlign w:val="superscript"/>
        </w:rPr>
        <w:t>5</w:t>
      </w:r>
    </w:p>
    <w:p w14:paraId="0E25C878" w14:textId="43C89928" w:rsidR="00E17F04" w:rsidRPr="000A7117" w:rsidRDefault="00E17F04" w:rsidP="004A1B2C">
      <w:pPr>
        <w:pStyle w:val="BodyText"/>
      </w:pPr>
      <w:r w:rsidRPr="000A7117">
        <w:t>Authorization of 6 months may be granted for treatment of chorea not associated with Huntington’s disease.</w:t>
      </w:r>
    </w:p>
    <w:p w14:paraId="4455558D" w14:textId="4E2516DD" w:rsidR="00A07356" w:rsidRPr="000A7117" w:rsidRDefault="00A07356" w:rsidP="00A07356">
      <w:pPr>
        <w:pStyle w:val="Heading3"/>
      </w:pPr>
      <w:r w:rsidRPr="004A1B2C">
        <w:t>Hemiballismus</w:t>
      </w:r>
      <w:r w:rsidRPr="004A1B2C">
        <w:rPr>
          <w:vertAlign w:val="superscript"/>
        </w:rPr>
        <w:t>4,</w:t>
      </w:r>
      <w:r w:rsidR="00353078">
        <w:rPr>
          <w:vertAlign w:val="superscript"/>
        </w:rPr>
        <w:t>5</w:t>
      </w:r>
    </w:p>
    <w:p w14:paraId="18BFD984" w14:textId="77777777" w:rsidR="00A07356" w:rsidRPr="000A7117" w:rsidRDefault="00A07356" w:rsidP="00A07356">
      <w:pPr>
        <w:pStyle w:val="BodyText"/>
      </w:pPr>
      <w:r w:rsidRPr="000A7117">
        <w:t>Authorization of 6 months may be granted for the treatment of hemiballismus.</w:t>
      </w:r>
    </w:p>
    <w:p w14:paraId="4C497D68" w14:textId="24E8E1BB" w:rsidR="00A07356" w:rsidRPr="000A7117" w:rsidRDefault="00A07356" w:rsidP="00A07356">
      <w:pPr>
        <w:pStyle w:val="Heading3"/>
      </w:pPr>
      <w:r w:rsidRPr="000A7117">
        <w:t xml:space="preserve">Tardive </w:t>
      </w:r>
      <w:r>
        <w:t>d</w:t>
      </w:r>
      <w:r w:rsidRPr="004A1B2C">
        <w:t>yskinesia</w:t>
      </w:r>
      <w:r w:rsidRPr="004A1B2C">
        <w:rPr>
          <w:vertAlign w:val="superscript"/>
        </w:rPr>
        <w:t>3,4,</w:t>
      </w:r>
      <w:r w:rsidR="00F47DC3">
        <w:rPr>
          <w:vertAlign w:val="superscript"/>
        </w:rPr>
        <w:t>7</w:t>
      </w:r>
    </w:p>
    <w:p w14:paraId="3A5CEEA6" w14:textId="41BDFE92" w:rsidR="00A07356" w:rsidRPr="000A7117" w:rsidRDefault="00A07356" w:rsidP="00A07356">
      <w:pPr>
        <w:pStyle w:val="BodyText"/>
      </w:pPr>
      <w:r w:rsidRPr="000A7117">
        <w:t>Authorization of 6 months may be granted for treatment of tardive dyskinesia when both of the following criteria are met:</w:t>
      </w:r>
    </w:p>
    <w:p w14:paraId="1A3C376A" w14:textId="6065F03B" w:rsidR="00A07356" w:rsidRPr="004A1B2C" w:rsidRDefault="00A07356" w:rsidP="00A07356">
      <w:pPr>
        <w:pStyle w:val="ListParagraph"/>
        <w:numPr>
          <w:ilvl w:val="0"/>
          <w:numId w:val="38"/>
        </w:numPr>
      </w:pPr>
      <w:r w:rsidRPr="004A1B2C">
        <w:t>Member exhibits clinical manifestations of disease.</w:t>
      </w:r>
    </w:p>
    <w:p w14:paraId="1326A092" w14:textId="77777777" w:rsidR="00A07356" w:rsidRPr="004A1B2C" w:rsidRDefault="00A07356" w:rsidP="00A07356">
      <w:pPr>
        <w:pStyle w:val="ListParagraph"/>
        <w:numPr>
          <w:ilvl w:val="0"/>
          <w:numId w:val="38"/>
        </w:numPr>
      </w:pPr>
      <w:r w:rsidRPr="004A1B2C">
        <w:t>Member’s tardive dyskinesia has been assessed through clinical examination or with a structured evaluative tool (e.g., Abnormal Involuntary Movement Scale [AIMS], Dyskinesia Identification System: Condensed User Scale [DISCUS]).</w:t>
      </w:r>
    </w:p>
    <w:p w14:paraId="5A886AA0" w14:textId="1CD68D68" w:rsidR="00E17F04" w:rsidRPr="000A7117" w:rsidRDefault="00E17F04" w:rsidP="004A1B2C">
      <w:pPr>
        <w:pStyle w:val="Heading3"/>
      </w:pPr>
      <w:r w:rsidRPr="000A7117">
        <w:t xml:space="preserve">Tic </w:t>
      </w:r>
      <w:r w:rsidR="00165B25">
        <w:t>d</w:t>
      </w:r>
      <w:r w:rsidR="00165B25" w:rsidRPr="004A1B2C">
        <w:t>isorders</w:t>
      </w:r>
      <w:r w:rsidR="00165B25" w:rsidRPr="004A1B2C">
        <w:rPr>
          <w:vertAlign w:val="superscript"/>
        </w:rPr>
        <w:t>3</w:t>
      </w:r>
      <w:r w:rsidR="001F492A">
        <w:rPr>
          <w:vertAlign w:val="superscript"/>
        </w:rPr>
        <w:t>-6</w:t>
      </w:r>
    </w:p>
    <w:p w14:paraId="51612978" w14:textId="25B53DB8" w:rsidR="00E17F04" w:rsidRDefault="00E17F04" w:rsidP="004A1B2C">
      <w:pPr>
        <w:pStyle w:val="BodyText"/>
      </w:pPr>
      <w:r w:rsidRPr="000A7117">
        <w:t>Authorization of 6 months may be granted for treatment of tic disorders.</w:t>
      </w:r>
    </w:p>
    <w:p w14:paraId="3A643EC3" w14:textId="733CED16" w:rsidR="00A501AC" w:rsidRPr="000A7117" w:rsidRDefault="00A501AC" w:rsidP="00A501AC">
      <w:pPr>
        <w:pStyle w:val="Heading2"/>
      </w:pPr>
      <w:r w:rsidRPr="000A7117">
        <w:t>Continuation of Therapy</w:t>
      </w:r>
    </w:p>
    <w:p w14:paraId="551ECCE5" w14:textId="77777777" w:rsidR="00E17F04" w:rsidRDefault="00E17F04" w:rsidP="004A1B2C">
      <w:pPr>
        <w:pStyle w:val="BodyText"/>
      </w:pPr>
      <w:r w:rsidRPr="000A7117">
        <w:t xml:space="preserve">Authorization of 12 </w:t>
      </w:r>
      <w:r w:rsidRPr="004A1B2C">
        <w:t>months</w:t>
      </w:r>
      <w:r w:rsidRPr="000A7117">
        <w:t xml:space="preserve"> may be granted for members with an indication listed in the coverage criteria section who are experiencing benefit from therapy as evidenced by disease stability or disease improvement.</w:t>
      </w:r>
    </w:p>
    <w:p w14:paraId="10DA4309" w14:textId="036060A1" w:rsidR="00FF66BF" w:rsidRPr="000A7117" w:rsidRDefault="00FF66BF" w:rsidP="00E17F04">
      <w:pPr>
        <w:pStyle w:val="Heading2"/>
        <w:spacing w:before="200"/>
      </w:pPr>
      <w:r w:rsidRPr="000A7117">
        <w:t>References</w:t>
      </w:r>
    </w:p>
    <w:p w14:paraId="56D7C9D8" w14:textId="76326091" w:rsidR="00E17F04" w:rsidRPr="004A1B2C" w:rsidRDefault="00E17F04" w:rsidP="004A1B2C">
      <w:pPr>
        <w:pStyle w:val="ReferenceOrdered"/>
      </w:pPr>
      <w:proofErr w:type="spellStart"/>
      <w:r w:rsidRPr="004A1B2C">
        <w:t>Xenazine</w:t>
      </w:r>
      <w:proofErr w:type="spellEnd"/>
      <w:r w:rsidRPr="004A1B2C">
        <w:t xml:space="preserve"> [package insert]. Deerfield, IL: Lundbeck Inc.; November 2019.</w:t>
      </w:r>
    </w:p>
    <w:p w14:paraId="2F673B5C" w14:textId="05AF8E98" w:rsidR="00E17F04" w:rsidRPr="004A1B2C" w:rsidRDefault="00E17F04" w:rsidP="004A1B2C">
      <w:pPr>
        <w:pStyle w:val="ReferenceOrdered"/>
      </w:pPr>
      <w:r w:rsidRPr="004A1B2C">
        <w:t xml:space="preserve">Tetrabenazine [package insert]. Weston, FL: </w:t>
      </w:r>
      <w:proofErr w:type="spellStart"/>
      <w:r w:rsidRPr="004A1B2C">
        <w:t>Apotex</w:t>
      </w:r>
      <w:proofErr w:type="spellEnd"/>
      <w:r w:rsidRPr="004A1B2C">
        <w:t xml:space="preserve"> Corp.; October 2021.</w:t>
      </w:r>
    </w:p>
    <w:p w14:paraId="265D14BC" w14:textId="5BD85251" w:rsidR="00E17F04" w:rsidRPr="004A1B2C" w:rsidRDefault="00E17F04" w:rsidP="004A1B2C">
      <w:pPr>
        <w:pStyle w:val="ReferenceOrdered"/>
      </w:pPr>
      <w:r w:rsidRPr="004A1B2C">
        <w:t xml:space="preserve">Micromedex® (electronic version). Truven Health Analytics, Greenwood Village, Colorado, USA. Available at: http://www.micromedexsolutions.com. Accessed </w:t>
      </w:r>
      <w:r w:rsidR="00EA3CC9">
        <w:t>March 6, 2025</w:t>
      </w:r>
      <w:r w:rsidRPr="004A1B2C">
        <w:t>.</w:t>
      </w:r>
    </w:p>
    <w:p w14:paraId="5BF141BE" w14:textId="18D20AA2" w:rsidR="00E17F04" w:rsidRPr="004A1B2C" w:rsidRDefault="00E17F04" w:rsidP="004A1B2C">
      <w:pPr>
        <w:pStyle w:val="ReferenceOrdered"/>
      </w:pPr>
      <w:r w:rsidRPr="004A1B2C">
        <w:t xml:space="preserve">AHFS DI (Adult and Pediatric). Lexicomp. Last updated March 11, 2024. Accessed </w:t>
      </w:r>
      <w:r w:rsidR="00EA3CC9">
        <w:t>March 6, 2025</w:t>
      </w:r>
      <w:r w:rsidRPr="004A1B2C">
        <w:t>. http://online.lexi.com/lco</w:t>
      </w:r>
    </w:p>
    <w:p w14:paraId="7CA7B0F1" w14:textId="3A2E2F1C" w:rsidR="00E17F04" w:rsidRPr="005A1B89" w:rsidRDefault="00E17F04" w:rsidP="004A1B2C">
      <w:pPr>
        <w:pStyle w:val="ReferenceOrdered"/>
      </w:pPr>
      <w:proofErr w:type="spellStart"/>
      <w:r w:rsidRPr="004A1B2C">
        <w:t>Guay</w:t>
      </w:r>
      <w:proofErr w:type="spellEnd"/>
      <w:r w:rsidRPr="004A1B2C">
        <w:t xml:space="preserve"> DRP. Tetrabenazine, a monoamine-depleting drug used in the treatment of hyperkinetic movement disorders. Am J </w:t>
      </w:r>
      <w:proofErr w:type="spellStart"/>
      <w:r w:rsidRPr="004A1B2C">
        <w:t>Geriatr</w:t>
      </w:r>
      <w:proofErr w:type="spellEnd"/>
      <w:r w:rsidRPr="004A1B2C">
        <w:t xml:space="preserve"> </w:t>
      </w:r>
      <w:proofErr w:type="spellStart"/>
      <w:r w:rsidRPr="004A1B2C">
        <w:t>Pharmacother</w:t>
      </w:r>
      <w:proofErr w:type="spellEnd"/>
      <w:r w:rsidRPr="004A1B2C">
        <w:t xml:space="preserve">. </w:t>
      </w:r>
      <w:r w:rsidRPr="005A1B89">
        <w:t>2010;8:331-373.</w:t>
      </w:r>
    </w:p>
    <w:p w14:paraId="41BD844F" w14:textId="7E73C3DF" w:rsidR="00E17F04" w:rsidRPr="005A1B89" w:rsidRDefault="00E17F04" w:rsidP="004A1B2C">
      <w:pPr>
        <w:pStyle w:val="ReferenceOrdered"/>
      </w:pPr>
      <w:r w:rsidRPr="005A1B89">
        <w:t>Kenney C, Hunter C, Jankovic J. Long-term tolerability of tetrabenazine in the treatment of hyperkinetic movement disorders. Movement Disorders. 2007;22(2):193-7.</w:t>
      </w:r>
    </w:p>
    <w:p w14:paraId="1E89B1A7" w14:textId="08855753" w:rsidR="00E17F04" w:rsidRPr="004A1B2C" w:rsidRDefault="00E17F04" w:rsidP="004A1B2C">
      <w:pPr>
        <w:pStyle w:val="ReferenceOrdered"/>
      </w:pPr>
      <w:r w:rsidRPr="005A1B89">
        <w:t>American Psychiatric Association. (2021). Practice Guideline</w:t>
      </w:r>
      <w:r w:rsidRPr="004A1B2C">
        <w:t xml:space="preserve"> for the Treatment of Patients With Schizophrenia, third edition. https://doi.org/10.1176/appi.books.9780890424841</w:t>
      </w:r>
    </w:p>
    <w:sectPr w:rsidR="00E17F04" w:rsidRPr="004A1B2C" w:rsidSect="00A80C77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90850" w14:textId="77777777" w:rsidR="003A30BE" w:rsidRDefault="003A30BE">
      <w:r>
        <w:separator/>
      </w:r>
    </w:p>
  </w:endnote>
  <w:endnote w:type="continuationSeparator" w:id="0">
    <w:p w14:paraId="241399CE" w14:textId="77777777" w:rsidR="003A30BE" w:rsidRDefault="003A30BE">
      <w:r>
        <w:continuationSeparator/>
      </w:r>
    </w:p>
  </w:endnote>
  <w:endnote w:type="continuationNotice" w:id="1">
    <w:p w14:paraId="6452B556" w14:textId="77777777" w:rsidR="003A30BE" w:rsidRDefault="003A3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1E5D42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80C77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A4485" w:rsidRPr="005A4485">
      <w:rPr>
        <w:rFonts w:cs="Arial"/>
        <w:noProof/>
        <w:sz w:val="16"/>
        <w:szCs w:val="16"/>
        <w:lang w:val="it-IT"/>
      </w:rPr>
      <w:t>tetrabenazine-Xenazine</w:t>
    </w:r>
    <w:r w:rsidR="005A4485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2266-A</w:t>
    </w:r>
    <w:r w:rsidR="005A4485" w:rsidRPr="005A4485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A80C77">
      <w:rPr>
        <w:rFonts w:cs="Arial"/>
        <w:snapToGrid w:val="0"/>
        <w:color w:val="000000"/>
        <w:sz w:val="16"/>
        <w:lang w:val="it-IT"/>
      </w:rPr>
      <w:tab/>
      <w:t>© 202</w:t>
    </w:r>
    <w:r w:rsidR="005A1B89">
      <w:rPr>
        <w:rFonts w:cs="Arial"/>
        <w:snapToGrid w:val="0"/>
        <w:color w:val="000000"/>
        <w:sz w:val="16"/>
        <w:lang w:val="it-IT"/>
      </w:rPr>
      <w:t>5</w:t>
    </w:r>
    <w:r w:rsidRPr="00A80C77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3652C411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D3BAA91" w:rsidR="00F75C81" w:rsidRPr="00AA1E6A" w:rsidRDefault="00C36B72" w:rsidP="00A80C7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84DA86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80C77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A4485" w:rsidRPr="005A4485">
      <w:rPr>
        <w:rFonts w:cs="Arial"/>
        <w:noProof/>
        <w:sz w:val="16"/>
        <w:szCs w:val="16"/>
        <w:lang w:val="it-IT"/>
      </w:rPr>
      <w:t>tetrabenazine-Xenazine</w:t>
    </w:r>
    <w:r w:rsidR="005A4485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2266-A</w:t>
    </w:r>
    <w:r w:rsidR="005A4485" w:rsidRPr="005A4485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A80C77">
      <w:rPr>
        <w:rFonts w:cs="Arial"/>
        <w:snapToGrid w:val="0"/>
        <w:color w:val="000000"/>
        <w:sz w:val="16"/>
        <w:lang w:val="it-IT"/>
      </w:rPr>
      <w:tab/>
      <w:t>© 202</w:t>
    </w:r>
    <w:r w:rsidR="005A1B89">
      <w:rPr>
        <w:rFonts w:cs="Arial"/>
        <w:snapToGrid w:val="0"/>
        <w:color w:val="000000"/>
        <w:sz w:val="16"/>
        <w:lang w:val="it-IT"/>
      </w:rPr>
      <w:t>5</w:t>
    </w:r>
    <w:r w:rsidRPr="00A80C77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6DC71DC8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1D6A70C" w:rsidR="00ED04EC" w:rsidRPr="00F50D98" w:rsidRDefault="00F50D98" w:rsidP="00A80C7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15402" w14:textId="77777777" w:rsidR="003A30BE" w:rsidRDefault="003A30BE">
      <w:r>
        <w:separator/>
      </w:r>
    </w:p>
  </w:footnote>
  <w:footnote w:type="continuationSeparator" w:id="0">
    <w:p w14:paraId="4F6D27E6" w14:textId="77777777" w:rsidR="003A30BE" w:rsidRDefault="003A30BE">
      <w:r>
        <w:continuationSeparator/>
      </w:r>
    </w:p>
  </w:footnote>
  <w:footnote w:type="continuationNotice" w:id="1">
    <w:p w14:paraId="0B9D8535" w14:textId="77777777" w:rsidR="003A30BE" w:rsidRDefault="003A3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A169B1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0A7117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0A7117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A169B1">
      <w:trPr>
        <w:trHeight w:val="378"/>
        <w:jc w:val="right"/>
      </w:trPr>
      <w:tc>
        <w:tcPr>
          <w:tcW w:w="1854" w:type="dxa"/>
          <w:hideMark/>
        </w:tcPr>
        <w:p w14:paraId="51CE3E64" w14:textId="0DCFF8A7" w:rsidR="00ED04EC" w:rsidRPr="000A7117" w:rsidRDefault="002207EE" w:rsidP="00ED04EC">
          <w:pPr>
            <w:pStyle w:val="Header"/>
            <w:rPr>
              <w:rFonts w:cs="Arial"/>
              <w:sz w:val="16"/>
              <w:szCs w:val="16"/>
            </w:rPr>
          </w:pPr>
          <w:r w:rsidRPr="000A7117">
            <w:rPr>
              <w:rFonts w:cs="Arial"/>
              <w:sz w:val="16"/>
              <w:szCs w:val="16"/>
            </w:rPr>
            <w:t>2266-A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A169B1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A169B1">
      <w:trPr>
        <w:trHeight w:val="378"/>
        <w:jc w:val="right"/>
      </w:trPr>
      <w:tc>
        <w:tcPr>
          <w:tcW w:w="1854" w:type="dxa"/>
          <w:hideMark/>
        </w:tcPr>
        <w:p w14:paraId="475EFE95" w14:textId="5448A1E8" w:rsidR="000F5383" w:rsidRPr="00FF66BF" w:rsidRDefault="002207EE" w:rsidP="009E1F57">
          <w:pPr>
            <w:pStyle w:val="RefTableHeader"/>
          </w:pPr>
          <w:r>
            <w:t>2266-A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4A40BC"/>
    <w:multiLevelType w:val="hybridMultilevel"/>
    <w:tmpl w:val="6374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DF4A85"/>
    <w:multiLevelType w:val="hybridMultilevel"/>
    <w:tmpl w:val="4CFCC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50426A"/>
    <w:multiLevelType w:val="hybridMultilevel"/>
    <w:tmpl w:val="EB9C6A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C5B40"/>
    <w:multiLevelType w:val="hybridMultilevel"/>
    <w:tmpl w:val="43A814A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72AD1"/>
    <w:multiLevelType w:val="hybridMultilevel"/>
    <w:tmpl w:val="FDCE7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084913"/>
    <w:multiLevelType w:val="hybridMultilevel"/>
    <w:tmpl w:val="26224D3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37FAA"/>
    <w:multiLevelType w:val="hybridMultilevel"/>
    <w:tmpl w:val="04FE0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351D7"/>
    <w:multiLevelType w:val="hybridMultilevel"/>
    <w:tmpl w:val="BC348A1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3F5B4E"/>
    <w:multiLevelType w:val="hybridMultilevel"/>
    <w:tmpl w:val="059EF8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957757"/>
    <w:multiLevelType w:val="hybridMultilevel"/>
    <w:tmpl w:val="52D044EC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356FA"/>
    <w:multiLevelType w:val="hybridMultilevel"/>
    <w:tmpl w:val="9092D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D207E"/>
    <w:multiLevelType w:val="hybridMultilevel"/>
    <w:tmpl w:val="CC1279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3"/>
  </w:num>
  <w:num w:numId="3" w16cid:durableId="611589570">
    <w:abstractNumId w:val="26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7"/>
  </w:num>
  <w:num w:numId="18" w16cid:durableId="299724409">
    <w:abstractNumId w:val="29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8"/>
  </w:num>
  <w:num w:numId="22" w16cid:durableId="1472481103">
    <w:abstractNumId w:val="31"/>
  </w:num>
  <w:num w:numId="23" w16cid:durableId="1997420403">
    <w:abstractNumId w:val="34"/>
  </w:num>
  <w:num w:numId="24" w16cid:durableId="33312838">
    <w:abstractNumId w:val="30"/>
  </w:num>
  <w:num w:numId="25" w16cid:durableId="507404939">
    <w:abstractNumId w:val="18"/>
  </w:num>
  <w:num w:numId="26" w16cid:durableId="1950313333">
    <w:abstractNumId w:val="24"/>
  </w:num>
  <w:num w:numId="27" w16cid:durableId="1866016584">
    <w:abstractNumId w:val="21"/>
  </w:num>
  <w:num w:numId="28" w16cid:durableId="981228139">
    <w:abstractNumId w:val="12"/>
  </w:num>
  <w:num w:numId="29" w16cid:durableId="1870028441">
    <w:abstractNumId w:val="28"/>
  </w:num>
  <w:num w:numId="30" w16cid:durableId="2125269648">
    <w:abstractNumId w:val="27"/>
  </w:num>
  <w:num w:numId="31" w16cid:durableId="217859351">
    <w:abstractNumId w:val="23"/>
  </w:num>
  <w:num w:numId="32" w16cid:durableId="1112550265">
    <w:abstractNumId w:val="22"/>
  </w:num>
  <w:num w:numId="33" w16cid:durableId="1144808216">
    <w:abstractNumId w:val="36"/>
  </w:num>
  <w:num w:numId="34" w16cid:durableId="2009092756">
    <w:abstractNumId w:val="25"/>
  </w:num>
  <w:num w:numId="35" w16cid:durableId="318505009">
    <w:abstractNumId w:val="11"/>
  </w:num>
  <w:num w:numId="36" w16cid:durableId="771123019">
    <w:abstractNumId w:val="15"/>
  </w:num>
  <w:num w:numId="37" w16cid:durableId="1137071231">
    <w:abstractNumId w:val="32"/>
  </w:num>
  <w:num w:numId="38" w16cid:durableId="2070839075">
    <w:abstractNumId w:val="35"/>
  </w:num>
  <w:num w:numId="39" w16cid:durableId="1026448007">
    <w:abstractNumId w:val="33"/>
    <w:lvlOverride w:ilvl="0">
      <w:startOverride w:val="1"/>
    </w:lvlOverride>
  </w:num>
  <w:num w:numId="40" w16cid:durableId="1413117726">
    <w:abstractNumId w:val="33"/>
    <w:lvlOverride w:ilvl="0">
      <w:startOverride w:val="1"/>
    </w:lvlOverride>
  </w:num>
  <w:num w:numId="41" w16cid:durableId="1114328453">
    <w:abstractNumId w:val="33"/>
    <w:lvlOverride w:ilvl="0">
      <w:startOverride w:val="1"/>
    </w:lvlOverride>
  </w:num>
  <w:num w:numId="42" w16cid:durableId="970551722">
    <w:abstractNumId w:val="33"/>
    <w:lvlOverride w:ilvl="0">
      <w:startOverride w:val="1"/>
    </w:lvlOverride>
  </w:num>
  <w:num w:numId="43" w16cid:durableId="1602185373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2E0D"/>
    <w:rsid w:val="000231A5"/>
    <w:rsid w:val="0002338D"/>
    <w:rsid w:val="00024391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6208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B80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964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17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4BF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5B25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28FE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3E97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92A"/>
    <w:rsid w:val="001F4BF6"/>
    <w:rsid w:val="001F55CC"/>
    <w:rsid w:val="001F6065"/>
    <w:rsid w:val="001F629F"/>
    <w:rsid w:val="001F6363"/>
    <w:rsid w:val="001F6373"/>
    <w:rsid w:val="001F6F6F"/>
    <w:rsid w:val="002017F4"/>
    <w:rsid w:val="00202571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7EE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3F2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0A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3BD2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6C6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4850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B7A"/>
    <w:rsid w:val="00341F47"/>
    <w:rsid w:val="00342365"/>
    <w:rsid w:val="00343BE2"/>
    <w:rsid w:val="00343E90"/>
    <w:rsid w:val="00345C55"/>
    <w:rsid w:val="00345D48"/>
    <w:rsid w:val="003468AA"/>
    <w:rsid w:val="00346D5D"/>
    <w:rsid w:val="00347C02"/>
    <w:rsid w:val="00350DF1"/>
    <w:rsid w:val="003520C8"/>
    <w:rsid w:val="003524E5"/>
    <w:rsid w:val="00352959"/>
    <w:rsid w:val="00352B5E"/>
    <w:rsid w:val="00352BC7"/>
    <w:rsid w:val="00353078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557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30BE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0F32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3C9C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D7E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911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5BA6"/>
    <w:rsid w:val="0049611C"/>
    <w:rsid w:val="00497D66"/>
    <w:rsid w:val="004A0605"/>
    <w:rsid w:val="004A0803"/>
    <w:rsid w:val="004A0F44"/>
    <w:rsid w:val="004A1B2C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27F8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2F20"/>
    <w:rsid w:val="004D4045"/>
    <w:rsid w:val="004D4171"/>
    <w:rsid w:val="004D4B8D"/>
    <w:rsid w:val="004D4C72"/>
    <w:rsid w:val="004D4FFD"/>
    <w:rsid w:val="004D67AC"/>
    <w:rsid w:val="004D696E"/>
    <w:rsid w:val="004D7FB1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141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2FED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77A9C"/>
    <w:rsid w:val="00580455"/>
    <w:rsid w:val="005808CA"/>
    <w:rsid w:val="0058115C"/>
    <w:rsid w:val="0058173B"/>
    <w:rsid w:val="00581E71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5E"/>
    <w:rsid w:val="00586ED1"/>
    <w:rsid w:val="005878D0"/>
    <w:rsid w:val="00587E65"/>
    <w:rsid w:val="0059101B"/>
    <w:rsid w:val="00591B27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503"/>
    <w:rsid w:val="005A1B89"/>
    <w:rsid w:val="005A32D3"/>
    <w:rsid w:val="005A33BD"/>
    <w:rsid w:val="005A3D7E"/>
    <w:rsid w:val="005A4485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210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4865"/>
    <w:rsid w:val="00615D0E"/>
    <w:rsid w:val="0061673E"/>
    <w:rsid w:val="00617744"/>
    <w:rsid w:val="00617950"/>
    <w:rsid w:val="00617BB8"/>
    <w:rsid w:val="00621772"/>
    <w:rsid w:val="006222EA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674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2C7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97A0D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1DCA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445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51D9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50E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29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3A90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3AC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3EB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1B7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FC8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E5E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1636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74E"/>
    <w:rsid w:val="00961854"/>
    <w:rsid w:val="00962152"/>
    <w:rsid w:val="009625E8"/>
    <w:rsid w:val="0096364A"/>
    <w:rsid w:val="00963AA8"/>
    <w:rsid w:val="00963D8C"/>
    <w:rsid w:val="00963F51"/>
    <w:rsid w:val="00964760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3F2D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4E02"/>
    <w:rsid w:val="00A051FE"/>
    <w:rsid w:val="00A05BED"/>
    <w:rsid w:val="00A05C06"/>
    <w:rsid w:val="00A05C6E"/>
    <w:rsid w:val="00A06128"/>
    <w:rsid w:val="00A0687B"/>
    <w:rsid w:val="00A06974"/>
    <w:rsid w:val="00A07356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9B1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F0A"/>
    <w:rsid w:val="00A72881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C77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595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56F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4A0A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65"/>
    <w:rsid w:val="00BE5586"/>
    <w:rsid w:val="00BE5599"/>
    <w:rsid w:val="00BE725B"/>
    <w:rsid w:val="00BE7439"/>
    <w:rsid w:val="00BE7721"/>
    <w:rsid w:val="00BF094D"/>
    <w:rsid w:val="00BF0CB2"/>
    <w:rsid w:val="00BF1BF2"/>
    <w:rsid w:val="00BF1D36"/>
    <w:rsid w:val="00BF2436"/>
    <w:rsid w:val="00BF3423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CCD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95F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D7ADC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99"/>
    <w:rsid w:val="00D015E2"/>
    <w:rsid w:val="00D01DB8"/>
    <w:rsid w:val="00D0248C"/>
    <w:rsid w:val="00D024A9"/>
    <w:rsid w:val="00D026FC"/>
    <w:rsid w:val="00D033D0"/>
    <w:rsid w:val="00D0352D"/>
    <w:rsid w:val="00D04030"/>
    <w:rsid w:val="00D041DA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08F"/>
    <w:rsid w:val="00D43207"/>
    <w:rsid w:val="00D43375"/>
    <w:rsid w:val="00D44336"/>
    <w:rsid w:val="00D44BA5"/>
    <w:rsid w:val="00D45515"/>
    <w:rsid w:val="00D45602"/>
    <w:rsid w:val="00D456BD"/>
    <w:rsid w:val="00D4581E"/>
    <w:rsid w:val="00D46ADD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2B4F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093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0E65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17F04"/>
    <w:rsid w:val="00E20E34"/>
    <w:rsid w:val="00E212B1"/>
    <w:rsid w:val="00E21380"/>
    <w:rsid w:val="00E216F1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65D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CEF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471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686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6DF8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9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079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299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0E3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47DC3"/>
    <w:rsid w:val="00F50523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48E3"/>
    <w:rsid w:val="00F859EC"/>
    <w:rsid w:val="00F85AEE"/>
    <w:rsid w:val="00F863D0"/>
    <w:rsid w:val="00F864AB"/>
    <w:rsid w:val="00F86554"/>
    <w:rsid w:val="00F87688"/>
    <w:rsid w:val="00F877F0"/>
    <w:rsid w:val="00F87A4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3EC5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5FE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D54ECE15-DA83-42DB-BF6A-7D1C3C30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9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0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8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0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9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2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DD1CEE45-9ACD-4C65-8710-FFD111BBC8C8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565</Words>
  <Characters>3125</Characters>
  <Application>Microsoft Office Word</Application>
  <DocSecurity>0</DocSecurity>
  <Lines>94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tetrabenazine-Xenazine 2266-A SGM 2024</vt:lpstr>
    </vt:vector>
  </TitlesOfParts>
  <Company>PCS Health Systems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tetrabenazine-Xenazine SGM 2266-A</dc:title>
  <dc:subject/>
  <dc:creator>CVS Caremark</dc:creator>
  <cp:keywords/>
  <cp:lastModifiedBy>Huerta, Linda M</cp:lastModifiedBy>
  <cp:revision>7</cp:revision>
  <cp:lastPrinted>2024-04-25T16:31:00Z</cp:lastPrinted>
  <dcterms:created xsi:type="dcterms:W3CDTF">2025-06-03T15:18:00Z</dcterms:created>
  <dcterms:modified xsi:type="dcterms:W3CDTF">2025-06-03T15:21:00Z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1269400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